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‘Plug &amp; Play’ Email Subject Lines</w:t>
      </w: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highlight w:val="yellow"/>
          <w:rtl w:val="0"/>
        </w:rPr>
        <w:t xml:space="preserve">[Part 7]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8"/>
                <w:szCs w:val="28"/>
                <w:rtl w:val="0"/>
              </w:rPr>
              <w:t xml:space="preserve">Click Any Of The Expert Names To Visit Their Website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Bob Bly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601. 3 reasons why I am an information marketer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602. What kind of clients generate the most income?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603. How to get more sales, fewer refunds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604. The #1 occupational hazard of online marketers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605. Are your face-to-face messages as compelling as your marketing messages?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606. The nuts-n-bolts of e-book marketing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607. Are these the world’s worst ad headlines?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608. Double your sales in 2014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609. 7 steps for keeping copywriting clients satisfied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610. For sale: my copywriting business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611. Do you mistreat your customers this way?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612. Claude Hopkins’ 41 “lost” business success secrets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613. Improve online videos; make your brand stand out; generate leads on Twitter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614. What Groucho Marx and I have in common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615. Everything I ever wrote or said: free for 10 days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616. What the UFC can teach you about accepting praise and criticism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617. Is this kind of “low-key” copywriting for you?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618. Why your personal preferences count for squat in marketing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619. Become a highly paid freelance technical writer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620. Make $1,000 or more for a one-hour talk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621. The awful truth about cold calling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622. Last chance to attend our info marketing bootcamp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623. The difference between copywriting and content writing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624. Why does everyone think writers shouldn’t be paid?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625. Free webinar: optimizing lead generation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626. Writers: make an extra $17,000 this year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627. Best financial advice ever given to freelancers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628. Do you possess this vital writing skill?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629. For Info Marketing University Attendees Only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630. Why I won’t coach you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631. Don’t miss this exciting live event…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632. Double your conversion with a killer landing page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633. The ultimate e-mail swipe file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634. An easy way to “pretest” info product ideas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635. 12 ways lift letters can boost response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636. How to get more freelance gigs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637. Do nonpaying customers have a right to complain?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638. Straight talk about copywriting royalties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639. Build your info marketing empire - are you ready?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640. Isaac Asimov’s super-productivity secrets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641. Which copywriting clients pay best?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642. What’s next in content marketing: free webinar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643. Market yourself by writing articles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644. Another undiscovered niche for copywriters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645. Position yourself as a guru by giving talks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646. 3 job-free ways to get paid as a writer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647. The world’s best copywriting coaches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648. Your professional speaking success…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649. Sell my info products and keep all the money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650. Don’t make this mistake when choosing a guru to follow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BONUS: Create great e-books without writing a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reasons why I am an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602a. What kind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desired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603a. How to get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need]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604a. The #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occupational hazard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605a. Are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as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606a. The nuts-n-bolts of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607a. Are these the world’s worst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608a. Double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609a.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steps for keeping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satisfied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610a. For sale: my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611a. Do you mistreat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this way?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“lost”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;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;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614a. What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I have in common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615a. Everything I ever wrote or said: free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days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616a. What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can teach you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617a. Is this kind of “low-key”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you?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618a. Why your personal preferences count for squat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619a. Become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620a. Make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 more for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621a. The awful truth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622a. Last chance to attend 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[deliverable/event]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623a. The difference between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[similar subject]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624a. Why does everyone think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[controversial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625a. Free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[benefit]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627a. Best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advice ever given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628a. Do you possess this vital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629a.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[membership/deliverable]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Attendees  Only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630a. CURIOSITY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631a. Don’t miss this exciting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 a killer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633a. The ultimate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634a. An easy way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ways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can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636a. How to get more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637a. CONTROVERSIAL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638a. Straight talk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639a. Build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- are you ready?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want/subject]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secrets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641a. Which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642a. What’s next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: free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by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644a. Another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for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645a.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by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activity]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646a.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ways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647a.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[location]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best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648a. FUTURE PACING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649a. CURIOSITY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650a. Don’t make this mistake when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[performing niche activity]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BONUS: INCONGRUOUS JUXTAPOSITION</w:t>
            </w:r>
          </w:p>
        </w:tc>
      </w:tr>
    </w:tbl>
    <w:p w:rsidR="00000000" w:rsidDel="00000000" w:rsidP="00000000" w:rsidRDefault="00000000" w:rsidRPr="00000000" w14:paraId="000000DE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52.0" w:type="dxa"/>
        <w:jc w:val="center"/>
        <w:tblBorders>
          <w:top w:color="ffffff" w:space="0" w:sz="24" w:val="single"/>
          <w:left w:color="ffffff" w:space="0" w:sz="24" w:val="single"/>
          <w:bottom w:color="ffffff" w:space="0" w:sz="24" w:val="single"/>
          <w:right w:color="ffffff" w:space="0" w:sz="24" w:val="single"/>
          <w:insideH w:color="ffffff" w:space="0" w:sz="24" w:val="single"/>
          <w:insideV w:color="ffffff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AWAI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48"/>
                <w:szCs w:val="48"/>
                <w:rtl w:val="0"/>
              </w:rPr>
              <w:t xml:space="preserve">Templatized Version</w:t>
            </w:r>
          </w:p>
        </w:tc>
      </w:tr>
    </w:tbl>
    <w:p w:rsidR="00000000" w:rsidDel="00000000" w:rsidP="00000000" w:rsidRDefault="00000000" w:rsidRPr="00000000" w14:paraId="000000E1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52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776"/>
        <w:gridCol w:w="7776"/>
        <w:tblGridChange w:id="0">
          <w:tblGrid>
            <w:gridCol w:w="7776"/>
            <w:gridCol w:w="777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651. When NOT to be creative…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652. How 20 seconds of insane courage can change your life…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653. A very special invitation from one writer to another…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654. What Tim Tebow can teach you about winning clients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655. How to start living the writer’s life ASAP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656. How to turn two hours into millions of dollars of free advertising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657. Client-getting tips from a “Madam”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658. Before you do anything else…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659. Are you rocking the copywriting world?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660. Do you want to know a secret?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661. Start your own copywriting revolution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662. Should your first line be long or short?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663. How to promote something with limited appeal…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664. Oscar, we’ve yet to hear from you on this…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665. Can watching movies help you write better copy?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666. Poor guy, if he only knew…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667. The fastest and easiest way to improve the clarity of your copy…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668. The movie Die Hard’s copywriting lesson…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669. Are you an expert?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670. 3 ways to profit as an expert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671. How do you find time to be an expert?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672. How to create content that makes you look like an expert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673. Five paying assignments within the next 60 days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674. Launch your writing career this weekend...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675. What I wish I knew then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676. You won’t believe this guarantee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677. Still trying to master the mental game?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678. Do this today - don’t wait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679. How to make steady progress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680. Do you have this success “building block”?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681. Trim your trees to keep your business growing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682. Instant credibility as a professional writer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683. Re: Tonight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684. The only stimulus that benefits you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685. Why bother with social media?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686. How social media impacts your copy (even when you’re not writing for social media!)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687. These 1,372 AWAIers have a definite advantage...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688. Huge “aha” moment today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689. Ready to dive in and profit from social media?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690. Announcement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691. “The richest people I know”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692. The 19th Century system that will help you get more clients in 2019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693. A surefire way to get all the clients you need and want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694. A funny story…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695. Last Chance: Bootcamp Special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696. If you do a good job at this, no one will know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697. A tip guaranteed to get more referrals from anyone you ask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698. Re: Tomorrow…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699. The chief secret to writing success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700. “I made him an offer he couldn’t refuse”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651a. When NOT to be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652a. How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can change your life…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653a. A very special invitation from one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another…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654a. What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can teach you about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655a. How to start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ASAP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656a. How to turn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657a.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tips from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[known entity]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658a. CURIOSITY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659a. Are you rocking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world?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660a. CURIOSITY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661a. Start your own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revolution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662a. Should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be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or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[description]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663a.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[obstacle]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, we’ve yet to hear from you on this…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665a. Can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[unrelated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help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666a. CURIOSITY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667a. The fastest and easiest way to improve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668a. The movie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[name]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’s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lesson…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669a. Are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identity]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670a.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ways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671a. How do you find time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672a. How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[perform niche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that makes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673a.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within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674a.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675a. CURIOSITY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676a. CURIOSITY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677a. Still trying to master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game?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678a. CURIOSITY/URGENCY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679a. CURIOSITY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680a. Do you have this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“building block”?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681a.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[unrelated activity]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to keep your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682a.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as a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[audience]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683a. CURIOSITY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684a. CURIOSITY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685a. Why bother with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subject]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686a. INCONGRUOUS JUXTAPOSITION/CURIOSITY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687a. These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[number]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[membership]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have a definite advantage…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688a. CURIOSITY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689a. Ready to dive in and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690a. CURIOSITY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691a. QUOTE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692a. The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 period]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system that will help you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[timeline]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693a. A surefire way to get [niche desired goal]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694a. CURIOSITY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695a. Last Chance: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[deliverable]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696a. CURIOSITY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697a. A tip guaranteed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desired goal]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698a. CURIOSITY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699a. The chief secret to </w:t>
            </w: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highlight w:val="yellow"/>
                <w:rtl w:val="0"/>
              </w:rPr>
              <w:t xml:space="preserve">[niche want]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700a. QUOTE</w:t>
            </w:r>
          </w:p>
        </w:tc>
      </w:tr>
    </w:tbl>
    <w:p w:rsidR="00000000" w:rsidDel="00000000" w:rsidP="00000000" w:rsidRDefault="00000000" w:rsidRPr="00000000" w14:paraId="000001B1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0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7200"/>
        <w:tblGridChange w:id="0">
          <w:tblGrid>
            <w:gridCol w:w="7200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Check out what our clients are saying: </w:t>
              <w:br w:type="textWrapping"/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listminers.com/testes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br w:type="textWrapping"/>
              <w:br w:type="textWrapping"/>
              <w:t xml:space="preserve">For questions and collaborations, email: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rFonts w:ascii="Courier New" w:cs="Courier New" w:eastAsia="Courier New" w:hAnsi="Courier New"/>
                <w:b w:val="1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racso@listminers.com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racso@listminers.com" TargetMode="External"/><Relationship Id="rId9" Type="http://schemas.openxmlformats.org/officeDocument/2006/relationships/hyperlink" Target="https://listminers.com/tes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stminers.com/testes" TargetMode="External"/><Relationship Id="rId8" Type="http://schemas.openxmlformats.org/officeDocument/2006/relationships/hyperlink" Target="mailto:racso@listminer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6pOw5Zd22MidQywiMrnVUiIwg==">AMUW2mVLOhwUcNV98HjA0NjXyYccN+ZlwpZ3JdOTZyhr7Z3QmGkNe2/SVfTWFzftAlpxmmuBLH4Zv9/GyUXHc6z6ouVL5rxj3jZVMLl6t9c59MTHnGijDSo=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