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9]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Russell Brunson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801. ...is it ok if I overdeliver?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802. so you bought the book… now what?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803. if you get stuck along the way…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804. (true story) watch Liz’s story… $0 to 6 figures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805. want access to my walkie talkie “bat line”?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806. (FREE this weekend) get this $497 marketing gift when you subscribe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807. 7 Figure Cheat Sheets (24 hour warning)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808. 1)___ 2)___ and 3rd___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809. look what you missed…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810. matthew quit… mike didn’t =&gt; results? (new video)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811. can I get your feedback on the DotCom Secrets book?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812. want my 7 figure cheat sheets?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813.  (Proof) did you see Drew’s results?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814. what’s your story?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815. where should I get started…?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816. we need to talk… (can you jump on a call today?)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817. The Secret Formula (New Infographic)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818. do you have a “Break Even” funnel yet?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819. (URGENT) want me to build YOUR “Break Even” funnel with you?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820. my 3 SECRET sales funnels… (get them free)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821. want my book funnel? (it sold 26k copies of my book)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822. STOP everything - we’re starting NOW! (Your Link Inside)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823. come hang out with MY first mentor (LIVE tonight)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824. do I look like Billy Mays? (New Video)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825. do you hate m0ney?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826. I’m on LIVE in about 10 min… (jump on ASAP)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827. New Video: The Only Real Thing You Need To Understand To 10x Your Company…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828. [High Ticket Secrets] withOUT using a phone!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829. WARNING: don’t buy ‘everwebinar’ yet (my honest opinion inside)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830. my dirty little secret I swore I’d never tell you…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831. ...I’m retiring from coaching - this is literally your last shot...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832. (New Video) - make AT LEAST 7 Figures NEXT year with THIS model…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833. my weird niche funnels that’s currently making me $17, 947 per day…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834. how to knock off a $17,947 PER DAY funnel (in less than 10 minutes!)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835. did you see this?!?!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836. double your reading LIVE (guaranteed in just 4 hours)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837. look what I just bought on kickstarter!!!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838. some cool stuff (secret links inside)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839. want ME to write YOUR copy?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840. ummm… these are LITERALLY the cheat codes for your funnel (Funnel Scripts)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841. ...this is what you’re MISSING out if you don’t HURRY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842. (NEW VIDEO) ...weird marketing experiments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843. Swipe this “Sneak Attack” launch for your business…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844. LEAKED VIDEO… Funnel Stacking: The 3 Core Funnels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845. ...why do you hate money so bad?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846. Here’s what happened when I thought I didn’t have to pay taxes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847. The weird hand gesture that turns prospects to buy…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848. come watch me CRASH and BURN LIVE (starting in 15 min)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849. the FASTEST way to make $10k with funnels…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850. can I help? =&gt; what’s your situation?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801a. CURIOSITY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802a. so you bought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 now what?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803a. CURIOSITY</w:t>
              <w:br w:type="textWrapping"/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804a. (true story) watch [name]’s story…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[accomplishment]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805a. want access to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806a. (FREE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get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when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warning)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808a. CURIOSITY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809a. CURIOSITY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quit…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didn’t =&gt; results? (new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811a. can I get your feedback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812a. want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813a. (Proof) did you see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results?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814a. CURIOSITY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815a. CURIOSITY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816a. CURIOSITY/URGENCY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818a. do you have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yet?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819a. (URGENT) want me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you?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820a.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 (get them free)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821a. want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[accomplishment]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822a. CURIOSITY/URGENCY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823a. come hang with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(LIVE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824a. do I look like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 (New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825a. do you hate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826a. I’m on LIVE in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 (jump on ASAP)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827a. 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The Only Real Thing You Need To Understand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828a. INCONGRUOUS JUXTAPOSITION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829a. WARNING: don’t buy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yet (my honest opinion inside)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830a. CURIOSITY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831a. ...I’m retiring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this is literally your last shot…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832a. (New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-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THIS model…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833a. my weird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that’s currently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834a. how to knock off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(in less than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835a. CURIOSITY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836a. double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LIVE (guaranteed in just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837a. CURIOSITY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838a. CURIOSITY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839a. want me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840a. ummm… these are LITERALLY the cheat codes for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841a. CURIOSITY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842a. (NEW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...weird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experiments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843a. Swipe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844a. LEAKED VIDEO…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845a. ...why do you hate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so bad?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846a. Here’s what happened when I thought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[activity]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847a. The weird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848a. SELF-DEPRECATION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849a. the FASTEST way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850a. QUESTION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Jason Fladlien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851. 4 steps to doing easy product launches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852. product launches simplified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853. my new 9 step copywriting process free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854. before and after (pics enclosed)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855. my birthday’s today (and YOUR gift)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856. my tax special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857. one of the hottest niches…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858. here’s an interesting mind trick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859. simple seo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860. want it bad enough?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861. how I design/layout sales letters in a few minutes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862. before your next sales letter…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863. secrets of selling on webinars (my 32 closes)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864. the ben franklin challenge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865. back to school special offer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866. 2x productivity in 48 hrs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867. Am I being too harsh?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868. watch me piss off a bunch of people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869. interesting ppc approach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870. why clone blogs?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871. real traffic generation strategies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872. I think this is a bargain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873. a lot of my students did well with this…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874. Case Study: $110k in 67-minutes (free workshop)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875. most important marketing asset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876. unusual seo webinar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877. create a product that does 10k in 3 months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878. for offline consultants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879. product + sales letter in minutes!?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880. Quit-Your-Job Formula (Ax + bY = z)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881. How to “sell” without “selling”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882. my thoughts on video boss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883. little known facebook trick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884. if you’re making less than $1,000 a month online...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885. let’s make $1000 together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886. offline consultants ONLY webinar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887. turns out facebook was right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888. our version of fight club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889. watch this now, otherwise it will be too late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890. this made me work late...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891. don’t say I didn’t warn you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892. what’s up with kindle anyway?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893. why I normally don’t promote WSOs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894. 6 hours to write a single article?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895. you’re still building links?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896. How to sell stock photographs (w/o being a photographer)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897. so it took a while...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898. my love/hate with continuity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899. some quick tips…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900. why don’t they do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steps to doing easy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simplified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853a. my 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step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process free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854a. CURIOSITY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855a. CURIOSITY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856a.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special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857a. one of the hottest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858a. here’s an interesting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trick…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859a. simple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860a. QUESTION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861a. how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862a. before your next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863a. secrets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[accomplishment]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864a.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challenge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[holiday]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special offer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867a. QUESTION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868a. CURIOSITY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869a. interesting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approach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870a. why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871a. real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strategies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872a. CURIOSITY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873a. CURIOSITY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(free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875a. most important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876a. unusual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878a.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879a.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!?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Formula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881a. INCONGRUOUS JUXTAPOSITION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882a. my thoughts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883a. little known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trick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884a. if you’re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[qualifier]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885a. let’s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together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ONLY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887a. turns 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was right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888a. our version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889a. CURIOSITY/URGENCY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890a. CURIOSITY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891a. CURIOSITY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892a. what’s up with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anyway?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893a. why I normally don’t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895a. you’re still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[antiquated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896a. INCONGRUOUS JUXTAPOSITION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897a. CURIOSITY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898a. my love/hate with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899a. CURIOSITY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900a. CURIOSITY</w:t>
            </w:r>
          </w:p>
        </w:tc>
      </w:tr>
    </w:tbl>
    <w:p w:rsidR="00000000" w:rsidDel="00000000" w:rsidP="00000000" w:rsidRDefault="00000000" w:rsidRPr="00000000" w14:paraId="000001A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b/FeVpu/sUG/LpHLeHU3+4wLQ==">AMUW2mXq8KIe4jwtkJ+pNTVtX1JAIa6qCSIQUrTpNm6ZI5WppL9mPhuq6VwFLBBfralpY6HWmIIGX0PELr2Lq9RnRGz/AypcEQwWrHyJPkue6Lm1rTE1wc8=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